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76039B" w:rsidP="00CD0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554D5">
        <w:rPr>
          <w:b/>
          <w:sz w:val="28"/>
          <w:szCs w:val="28"/>
        </w:rPr>
        <w:t>.11</w:t>
      </w:r>
      <w:r w:rsidR="00CD053D">
        <w:rPr>
          <w:b/>
          <w:sz w:val="28"/>
          <w:szCs w:val="28"/>
        </w:rPr>
        <w:t>.2020 r.</w:t>
      </w:r>
    </w:p>
    <w:p w:rsidR="00CD053D" w:rsidRPr="002A7D75" w:rsidRDefault="00CD053D" w:rsidP="00CD053D">
      <w:pPr>
        <w:spacing w:line="240" w:lineRule="auto"/>
        <w:jc w:val="both"/>
        <w:rPr>
          <w:b/>
          <w:sz w:val="24"/>
          <w:szCs w:val="24"/>
        </w:rPr>
      </w:pPr>
      <w:r w:rsidRPr="002A7D75">
        <w:rPr>
          <w:sz w:val="24"/>
          <w:szCs w:val="24"/>
        </w:rPr>
        <w:t xml:space="preserve">klasa </w:t>
      </w:r>
      <w:r w:rsidRPr="002A7D75">
        <w:rPr>
          <w:b/>
          <w:sz w:val="24"/>
          <w:szCs w:val="24"/>
        </w:rPr>
        <w:t xml:space="preserve">– II </w:t>
      </w:r>
      <w:proofErr w:type="spellStart"/>
      <w:r w:rsidRPr="002A7D75">
        <w:rPr>
          <w:b/>
          <w:sz w:val="24"/>
          <w:szCs w:val="24"/>
        </w:rPr>
        <w:t>tl</w:t>
      </w:r>
      <w:r w:rsidR="00AE0761" w:rsidRPr="002A7D75">
        <w:rPr>
          <w:b/>
          <w:sz w:val="24"/>
          <w:szCs w:val="24"/>
        </w:rPr>
        <w:t>p</w:t>
      </w:r>
      <w:proofErr w:type="spellEnd"/>
      <w:r w:rsidRPr="002A7D75">
        <w:rPr>
          <w:b/>
          <w:sz w:val="24"/>
          <w:szCs w:val="24"/>
        </w:rPr>
        <w:t>,</w:t>
      </w:r>
      <w:r w:rsidRPr="002A7D75">
        <w:rPr>
          <w:sz w:val="24"/>
          <w:szCs w:val="24"/>
        </w:rPr>
        <w:t xml:space="preserve"> nauczyciel</w:t>
      </w:r>
      <w:r w:rsidRPr="002A7D75">
        <w:rPr>
          <w:b/>
          <w:sz w:val="24"/>
          <w:szCs w:val="24"/>
        </w:rPr>
        <w:t xml:space="preserve"> – Arkadiusz Załęski,  </w:t>
      </w:r>
      <w:r w:rsidRPr="002A7D75">
        <w:rPr>
          <w:sz w:val="24"/>
          <w:szCs w:val="24"/>
        </w:rPr>
        <w:t>przedmiot</w:t>
      </w:r>
      <w:r w:rsidRPr="002A7D75">
        <w:rPr>
          <w:b/>
          <w:sz w:val="24"/>
          <w:szCs w:val="24"/>
        </w:rPr>
        <w:t xml:space="preserve"> – gospodarka magazynowa,</w:t>
      </w:r>
      <w:r w:rsidR="00080629">
        <w:rPr>
          <w:b/>
          <w:sz w:val="24"/>
          <w:szCs w:val="24"/>
        </w:rPr>
        <w:t xml:space="preserve">           </w:t>
      </w:r>
      <w:r w:rsidRPr="002A7D75">
        <w:rPr>
          <w:b/>
          <w:sz w:val="24"/>
          <w:szCs w:val="24"/>
        </w:rPr>
        <w:t xml:space="preserve"> </w:t>
      </w:r>
      <w:r w:rsidRPr="002A7D75">
        <w:rPr>
          <w:sz w:val="24"/>
          <w:szCs w:val="24"/>
        </w:rPr>
        <w:t xml:space="preserve">temat </w:t>
      </w:r>
      <w:r w:rsidR="007773E0">
        <w:rPr>
          <w:b/>
          <w:sz w:val="24"/>
          <w:szCs w:val="24"/>
        </w:rPr>
        <w:t>– „Urządzenia pomocnicze w procesie składowania</w:t>
      </w:r>
      <w:r w:rsidR="00763CA1">
        <w:rPr>
          <w:b/>
          <w:sz w:val="24"/>
          <w:szCs w:val="24"/>
        </w:rPr>
        <w:t xml:space="preserve"> – pojemniki przejezdne</w:t>
      </w:r>
      <w:r w:rsidRPr="002A7D75">
        <w:rPr>
          <w:b/>
          <w:sz w:val="24"/>
          <w:szCs w:val="24"/>
        </w:rPr>
        <w:t>”</w:t>
      </w:r>
    </w:p>
    <w:p w:rsidR="00CD053D" w:rsidRPr="00115113" w:rsidRDefault="00CD053D" w:rsidP="00CD053D">
      <w:pPr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Drodzy uczniowie! </w:t>
      </w:r>
    </w:p>
    <w:p w:rsidR="00CD053D" w:rsidRDefault="00CD053D" w:rsidP="00A9579C">
      <w:pPr>
        <w:spacing w:after="0"/>
        <w:jc w:val="both"/>
        <w:rPr>
          <w:b/>
          <w:i/>
          <w:sz w:val="24"/>
          <w:szCs w:val="24"/>
        </w:rPr>
      </w:pPr>
      <w:r w:rsidRPr="00115113">
        <w:rPr>
          <w:b/>
          <w:i/>
          <w:sz w:val="24"/>
          <w:szCs w:val="24"/>
        </w:rPr>
        <w:t xml:space="preserve">Proszę zapoznać się z zamieszczoną poniżej notatką. Proszę przepisać </w:t>
      </w:r>
      <w:r w:rsidR="00A9579C" w:rsidRPr="00115113">
        <w:rPr>
          <w:b/>
          <w:i/>
          <w:sz w:val="24"/>
          <w:szCs w:val="24"/>
        </w:rPr>
        <w:t xml:space="preserve">notatkę </w:t>
      </w:r>
      <w:r w:rsidRPr="00115113">
        <w:rPr>
          <w:b/>
          <w:i/>
          <w:sz w:val="24"/>
          <w:szCs w:val="24"/>
        </w:rPr>
        <w:t>do zeszytu (ewentualnie wydrukować i wkleić).</w:t>
      </w:r>
      <w:r w:rsidR="00A9579C" w:rsidRPr="00115113">
        <w:rPr>
          <w:b/>
          <w:i/>
          <w:sz w:val="24"/>
          <w:szCs w:val="24"/>
        </w:rPr>
        <w:t xml:space="preserve"> </w:t>
      </w:r>
      <w:r w:rsidRPr="00115113">
        <w:rPr>
          <w:b/>
          <w:i/>
          <w:sz w:val="24"/>
          <w:szCs w:val="24"/>
        </w:rPr>
        <w:t>W razie wątpliwości, niejasności, ewentualnych pytań proszę ko</w:t>
      </w:r>
      <w:r w:rsidR="00A9579C" w:rsidRPr="00115113">
        <w:rPr>
          <w:b/>
          <w:i/>
          <w:sz w:val="24"/>
          <w:szCs w:val="24"/>
        </w:rPr>
        <w:t xml:space="preserve">ntaktować się </w:t>
      </w:r>
      <w:r w:rsidRPr="00115113">
        <w:rPr>
          <w:b/>
          <w:i/>
          <w:sz w:val="24"/>
          <w:szCs w:val="24"/>
        </w:rPr>
        <w:t xml:space="preserve">ze mną za pomocą skrzynki e-mail: </w:t>
      </w:r>
      <w:hyperlink r:id="rId5" w:history="1">
        <w:r w:rsidRPr="00115113">
          <w:rPr>
            <w:rStyle w:val="Hipercze"/>
            <w:b/>
            <w:i/>
            <w:sz w:val="24"/>
            <w:szCs w:val="24"/>
          </w:rPr>
          <w:t>minorsam@interia.pl</w:t>
        </w:r>
      </w:hyperlink>
      <w:r w:rsidRPr="00115113">
        <w:rPr>
          <w:b/>
          <w:i/>
          <w:sz w:val="24"/>
          <w:szCs w:val="24"/>
        </w:rPr>
        <w:t xml:space="preserve"> .</w:t>
      </w:r>
    </w:p>
    <w:p w:rsidR="00A9579C" w:rsidRDefault="0076039B" w:rsidP="003810CD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Jednocześnie zapowiadam </w:t>
      </w:r>
      <w:r w:rsidRPr="003810CD">
        <w:rPr>
          <w:b/>
          <w:i/>
          <w:color w:val="FF0000"/>
          <w:sz w:val="24"/>
          <w:szCs w:val="24"/>
        </w:rPr>
        <w:t>sprawdzian z GM</w:t>
      </w:r>
      <w:r w:rsidR="003810CD" w:rsidRPr="003810CD">
        <w:rPr>
          <w:b/>
          <w:i/>
          <w:color w:val="FF0000"/>
          <w:sz w:val="24"/>
          <w:szCs w:val="24"/>
        </w:rPr>
        <w:t xml:space="preserve"> na 20.11.2020 r.</w:t>
      </w:r>
      <w:r w:rsidR="003810CD">
        <w:rPr>
          <w:b/>
          <w:i/>
          <w:sz w:val="24"/>
          <w:szCs w:val="24"/>
        </w:rPr>
        <w:t xml:space="preserve"> (Zakres materiału                          na sprawdzian: od tematu - „Techniczne wyposażenie magazynów”, do tematu -„Urządzenia pomocnicze w procesie składowania – pojemniki nieprzejezdne”.</w:t>
      </w:r>
    </w:p>
    <w:p w:rsidR="007773E0" w:rsidRDefault="00A9579C" w:rsidP="00763CA1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763CA1" w:rsidRDefault="00763CA1" w:rsidP="00763C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63CA1">
        <w:rPr>
          <w:rFonts w:eastAsia="ScalaSansPro-Bold" w:cstheme="minorHAnsi"/>
          <w:b/>
          <w:bCs/>
          <w:color w:val="00B050"/>
          <w:sz w:val="24"/>
          <w:szCs w:val="24"/>
        </w:rPr>
        <w:t>Pojemniki transportowo-magazynowe przejezdne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służą do przemieszczania ręcznego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      </w:t>
      </w:r>
      <w:r w:rsidRPr="00763CA1">
        <w:rPr>
          <w:rFonts w:eastAsia="ScalaSansPro-Bold" w:cstheme="minorHAnsi"/>
          <w:color w:val="000000"/>
          <w:sz w:val="24"/>
          <w:szCs w:val="24"/>
        </w:rPr>
        <w:t>na kołach obrotowych. Spód pojemnika przejezdnego to sztywna konstrukcja, na której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są ustawiane towary, natomiast boki mogą mieć ścianki lub nie (taki pojemnik nazywa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się pojemnikiem słupkowym). Ścianki mogą być demontowane, co zmniejsza gabaryty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pojemników podczas składowania. Zasady budowy, projektowania i bezpieczeństwa pojemników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przejezdnych reguluje norma PN-EN 12674-2. </w:t>
      </w: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4382829" cy="24790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215" cy="248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A1" w:rsidRDefault="00763CA1" w:rsidP="00763C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63CA1">
        <w:rPr>
          <w:rFonts w:eastAsia="ScalaSansPro-Bold" w:cstheme="minorHAnsi"/>
          <w:b/>
          <w:bCs/>
          <w:color w:val="00B050"/>
          <w:sz w:val="24"/>
          <w:szCs w:val="24"/>
        </w:rPr>
        <w:t>Pojemniki przejezdne rozbieralne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(demontażowe) umożliwiają szybki demontaż półek,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słupków bocznych oraz ram bocznych w celu efektywniejszeg</w:t>
      </w:r>
      <w:r>
        <w:rPr>
          <w:rFonts w:eastAsia="ScalaSansPro-Bold" w:cstheme="minorHAnsi"/>
          <w:color w:val="000000"/>
          <w:sz w:val="24"/>
          <w:szCs w:val="24"/>
        </w:rPr>
        <w:t xml:space="preserve">o wykorzystania miejsca </w:t>
      </w:r>
      <w:r w:rsidRPr="00763CA1">
        <w:rPr>
          <w:rFonts w:eastAsia="ScalaSansPro-Bold" w:cstheme="minorHAnsi"/>
          <w:color w:val="000000"/>
          <w:sz w:val="24"/>
          <w:szCs w:val="24"/>
        </w:rPr>
        <w:t>składowania</w:t>
      </w:r>
      <w:r>
        <w:rPr>
          <w:rFonts w:eastAsia="ScalaSansPro-Bold" w:cstheme="minorHAnsi"/>
          <w:color w:val="000000"/>
          <w:sz w:val="24"/>
          <w:szCs w:val="24"/>
        </w:rPr>
        <w:t xml:space="preserve"> towarów</w:t>
      </w:r>
      <w:r w:rsidRPr="00763CA1">
        <w:rPr>
          <w:rFonts w:eastAsia="ScalaSansPro-Bold" w:cstheme="minorHAnsi"/>
          <w:color w:val="000000"/>
          <w:sz w:val="24"/>
          <w:szCs w:val="24"/>
        </w:rPr>
        <w:t>. Pojemniki te uwzględniają nowoczesny nurt logistyki, czyli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możliwość dostosowania pojemników do możliwości przewozowych.</w:t>
      </w: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085763" cy="1690576"/>
            <wp:effectExtent l="19050" t="0" r="8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13" cy="169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A1" w:rsidRPr="00763CA1" w:rsidRDefault="00763CA1" w:rsidP="00763C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lastRenderedPageBreak/>
        <w:t>Pojemniki przejezdne składane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to pojemniki występujące w różnych modelach, różniących</w:t>
      </w:r>
    </w:p>
    <w:p w:rsidR="00763CA1" w:rsidRDefault="00763CA1" w:rsidP="00763CA1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63CA1">
        <w:rPr>
          <w:rFonts w:eastAsia="ScalaSansPro-Bold" w:cstheme="minorHAnsi"/>
          <w:color w:val="000000"/>
          <w:sz w:val="24"/>
          <w:szCs w:val="24"/>
        </w:rPr>
        <w:t>się od siebie sposobem składania ścianek względem podł</w:t>
      </w:r>
      <w:r w:rsidR="00213335">
        <w:rPr>
          <w:rFonts w:eastAsia="ScalaSansPro-Bold" w:cstheme="minorHAnsi"/>
          <w:color w:val="000000"/>
          <w:sz w:val="24"/>
          <w:szCs w:val="24"/>
        </w:rPr>
        <w:t>ogi</w:t>
      </w:r>
      <w:r w:rsidRPr="00763CA1">
        <w:rPr>
          <w:rFonts w:eastAsia="ScalaSansPro-Bold" w:cstheme="minorHAnsi"/>
          <w:color w:val="000000"/>
          <w:sz w:val="24"/>
          <w:szCs w:val="24"/>
        </w:rPr>
        <w:t>.</w:t>
      </w:r>
    </w:p>
    <w:p w:rsidR="00213335" w:rsidRPr="00763CA1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9765" cy="1552353"/>
            <wp:effectExtent l="19050" t="0" r="613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34" cy="155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CA1" w:rsidRDefault="00763CA1" w:rsidP="0021333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Pojemniki przejezdne wsuwane (gniazdowe)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to pojemniki, które dzięki swojej budowie</w:t>
      </w:r>
      <w:r w:rsidR="0021333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>mogą być wstawiane jeden w drugi, co pozwala ma maksymalne wykorzystanie miejsca</w:t>
      </w:r>
      <w:r w:rsidR="00213335">
        <w:rPr>
          <w:rFonts w:eastAsia="ScalaSansPro-Bold" w:cstheme="minorHAnsi"/>
          <w:color w:val="000000"/>
          <w:sz w:val="24"/>
          <w:szCs w:val="24"/>
        </w:rPr>
        <w:t xml:space="preserve">.               </w:t>
      </w:r>
      <w:r w:rsidRPr="00763CA1">
        <w:rPr>
          <w:rFonts w:eastAsia="ScalaSansPro-Bold" w:cstheme="minorHAnsi"/>
          <w:color w:val="000000"/>
          <w:sz w:val="24"/>
          <w:szCs w:val="24"/>
        </w:rPr>
        <w:t>W zależności od sposobu układania ramy podwozia podczas składania</w:t>
      </w:r>
      <w:r w:rsidR="00213335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wyróżnia się pojemniki z ramą podwozia: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A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U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lub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C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Z</w:t>
      </w:r>
      <w:r w:rsidRPr="00763CA1">
        <w:rPr>
          <w:rFonts w:eastAsia="ScalaSansPro-Bold" w:cstheme="minorHAnsi"/>
          <w:b/>
          <w:bCs/>
          <w:color w:val="009283"/>
          <w:sz w:val="24"/>
          <w:szCs w:val="24"/>
        </w:rPr>
        <w:t xml:space="preserve"> 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lub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N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V</w:t>
      </w:r>
      <w:r w:rsidRPr="00763CA1">
        <w:rPr>
          <w:rFonts w:eastAsia="ScalaSansPro-Bold" w:cstheme="minorHAnsi"/>
          <w:color w:val="000000"/>
          <w:sz w:val="24"/>
          <w:szCs w:val="24"/>
        </w:rPr>
        <w:t xml:space="preserve">; </w:t>
      </w:r>
      <w:r w:rsidRPr="00213335">
        <w:rPr>
          <w:rFonts w:eastAsia="ScalaSansPro-Bold" w:cstheme="minorHAnsi"/>
          <w:b/>
          <w:bCs/>
          <w:color w:val="00B050"/>
          <w:sz w:val="24"/>
          <w:szCs w:val="24"/>
        </w:rPr>
        <w:t>L</w:t>
      </w:r>
      <w:r w:rsidRPr="00763CA1">
        <w:rPr>
          <w:rFonts w:eastAsia="ScalaSansPro-Bold" w:cstheme="minorHAnsi"/>
          <w:color w:val="000000"/>
          <w:sz w:val="24"/>
          <w:szCs w:val="24"/>
        </w:rPr>
        <w:t>.</w:t>
      </w: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399997" cy="208685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88" cy="209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582376" cy="1467293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863" cy="147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13335" w:rsidRPr="00213335" w:rsidRDefault="00213335" w:rsidP="00213335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722652" cy="1520456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10" cy="152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335" w:rsidRPr="00213335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86"/>
    <w:multiLevelType w:val="hybridMultilevel"/>
    <w:tmpl w:val="09C89CB0"/>
    <w:lvl w:ilvl="0" w:tplc="7EB0C01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928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FD9"/>
    <w:multiLevelType w:val="hybridMultilevel"/>
    <w:tmpl w:val="75548E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57731"/>
    <w:multiLevelType w:val="hybridMultilevel"/>
    <w:tmpl w:val="A6489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12B3D"/>
    <w:rsid w:val="00047B17"/>
    <w:rsid w:val="00080629"/>
    <w:rsid w:val="0009564D"/>
    <w:rsid w:val="000B4030"/>
    <w:rsid w:val="000E353F"/>
    <w:rsid w:val="000F3E7E"/>
    <w:rsid w:val="00115113"/>
    <w:rsid w:val="001E3A05"/>
    <w:rsid w:val="0020187B"/>
    <w:rsid w:val="00213335"/>
    <w:rsid w:val="002554D5"/>
    <w:rsid w:val="002A7D75"/>
    <w:rsid w:val="002B44C2"/>
    <w:rsid w:val="003810CD"/>
    <w:rsid w:val="0039604E"/>
    <w:rsid w:val="00685441"/>
    <w:rsid w:val="0076039B"/>
    <w:rsid w:val="00763CA1"/>
    <w:rsid w:val="007773E0"/>
    <w:rsid w:val="00A9579C"/>
    <w:rsid w:val="00AD0BFA"/>
    <w:rsid w:val="00AE0761"/>
    <w:rsid w:val="00C60067"/>
    <w:rsid w:val="00CD053D"/>
    <w:rsid w:val="00CE6909"/>
    <w:rsid w:val="00F9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17</cp:revision>
  <dcterms:created xsi:type="dcterms:W3CDTF">2020-10-25T17:51:00Z</dcterms:created>
  <dcterms:modified xsi:type="dcterms:W3CDTF">2020-11-12T10:21:00Z</dcterms:modified>
</cp:coreProperties>
</file>